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F8A" w:rsidRDefault="00981F8A">
      <w:r>
        <w:t>#2</w:t>
      </w:r>
    </w:p>
    <w:p w:rsidR="00403A42" w:rsidRDefault="00723D92">
      <w:r>
        <w:t>100 m Dash</w:t>
      </w:r>
    </w:p>
    <w:p w:rsidR="00723D92" w:rsidRDefault="00723D92">
      <w:r>
        <w:t>Obviously I would use this video to engage students on scatter plots. It would be a nice introduction into what information can be deducted or analyzed from a scatter plot. Maybe have the kids make a list of what different comparisons the video showed us. For example, the video compared the years, times, nationality, even locations of the different runners.</w:t>
      </w:r>
    </w:p>
    <w:p w:rsidR="00723D92" w:rsidRDefault="00723D92">
      <w:r>
        <w:t>100 m Freestyle</w:t>
      </w:r>
    </w:p>
    <w:p w:rsidR="00723D92" w:rsidRDefault="00723D92">
      <w:r>
        <w:t>I like the idea of using line of best fit with this video. This video shows a true prediction, one that students could relate to and wonder. It is certainly better than, “When will the cell phone bill reach $134?</w:t>
      </w:r>
    </w:p>
    <w:p w:rsidR="00723D92" w:rsidRDefault="00723D92">
      <w:r>
        <w:t>Long Jump</w:t>
      </w:r>
    </w:p>
    <w:p w:rsidR="00723D92" w:rsidRDefault="00981F8A">
      <w:r>
        <w:t>I think this video would be a great opportunity to work with fractions. How much further did one jumper jump than the other? Or how much further would so and so have to jump to break the record?</w:t>
      </w:r>
    </w:p>
    <w:p w:rsidR="00981F8A" w:rsidRDefault="000761C1">
      <w:r>
        <w:t>Lesson Idea</w:t>
      </w:r>
      <w:r w:rsidR="00582A70">
        <w:t>s</w:t>
      </w:r>
    </w:p>
    <w:p w:rsidR="000761C1" w:rsidRDefault="000761C1">
      <w:r>
        <w:t xml:space="preserve">I would use the </w:t>
      </w:r>
      <w:hyperlink r:id="rId5" w:history="1">
        <w:r w:rsidRPr="000761C1">
          <w:rPr>
            <w:rStyle w:val="Hyperlink"/>
          </w:rPr>
          <w:t>mental math</w:t>
        </w:r>
      </w:hyperlink>
      <w:r>
        <w:t xml:space="preserve"> video during the first week of school. I think that middle school students need to know the importance of mental math and strengthening your brain. Using a calculator is helpful, but you shouldn’t have to use it to do minor calculations. </w:t>
      </w:r>
    </w:p>
    <w:p w:rsidR="000761C1" w:rsidRDefault="00582A70">
      <w:r>
        <w:t xml:space="preserve">This video could be used in the same way. Don’t use pencil, use your </w:t>
      </w:r>
      <w:hyperlink r:id="rId6" w:history="1">
        <w:r w:rsidRPr="00582A70">
          <w:rPr>
            <w:rStyle w:val="Hyperlink"/>
          </w:rPr>
          <w:t>head</w:t>
        </w:r>
      </w:hyperlink>
      <w:r>
        <w:t>.</w:t>
      </w:r>
    </w:p>
    <w:p w:rsidR="00582A70" w:rsidRDefault="00582A70">
      <w:r>
        <w:t xml:space="preserve">How about a discussion about why math is </w:t>
      </w:r>
      <w:hyperlink r:id="rId7" w:history="1">
        <w:r w:rsidRPr="00582A70">
          <w:rPr>
            <w:rStyle w:val="Hyperlink"/>
          </w:rPr>
          <w:t>important</w:t>
        </w:r>
      </w:hyperlink>
      <w:r>
        <w:t>?</w:t>
      </w:r>
    </w:p>
    <w:p w:rsidR="00D4019A" w:rsidRDefault="00D4019A">
      <w:r>
        <w:t>#3</w:t>
      </w:r>
    </w:p>
    <w:tbl>
      <w:tblPr>
        <w:tblStyle w:val="TableGrid"/>
        <w:tblW w:w="0" w:type="auto"/>
        <w:tblLook w:val="04A0"/>
      </w:tblPr>
      <w:tblGrid>
        <w:gridCol w:w="2394"/>
        <w:gridCol w:w="2394"/>
        <w:gridCol w:w="2394"/>
        <w:gridCol w:w="2394"/>
      </w:tblGrid>
      <w:tr w:rsidR="00D4019A" w:rsidTr="00D4019A">
        <w:tc>
          <w:tcPr>
            <w:tcW w:w="4788" w:type="dxa"/>
            <w:gridSpan w:val="2"/>
          </w:tcPr>
          <w:p w:rsidR="00D4019A" w:rsidRDefault="00D4019A">
            <w:proofErr w:type="spellStart"/>
            <w:r>
              <w:t>LearnZillion</w:t>
            </w:r>
            <w:proofErr w:type="spellEnd"/>
          </w:p>
        </w:tc>
        <w:tc>
          <w:tcPr>
            <w:tcW w:w="4788" w:type="dxa"/>
            <w:gridSpan w:val="2"/>
          </w:tcPr>
          <w:p w:rsidR="00D4019A" w:rsidRDefault="00D4019A">
            <w:r>
              <w:t>Kahn Academy</w:t>
            </w:r>
          </w:p>
        </w:tc>
      </w:tr>
      <w:tr w:rsidR="00D4019A" w:rsidTr="00DD6BB1">
        <w:tc>
          <w:tcPr>
            <w:tcW w:w="2394" w:type="dxa"/>
          </w:tcPr>
          <w:p w:rsidR="00D4019A" w:rsidRDefault="00D4019A">
            <w:r>
              <w:t>Pros</w:t>
            </w:r>
          </w:p>
        </w:tc>
        <w:tc>
          <w:tcPr>
            <w:tcW w:w="2394" w:type="dxa"/>
          </w:tcPr>
          <w:p w:rsidR="00D4019A" w:rsidRDefault="00D4019A">
            <w:r>
              <w:t>Cons</w:t>
            </w:r>
          </w:p>
        </w:tc>
        <w:tc>
          <w:tcPr>
            <w:tcW w:w="2394" w:type="dxa"/>
          </w:tcPr>
          <w:p w:rsidR="00D4019A" w:rsidRDefault="00D4019A">
            <w:r>
              <w:t>Pros</w:t>
            </w:r>
          </w:p>
        </w:tc>
        <w:tc>
          <w:tcPr>
            <w:tcW w:w="2394" w:type="dxa"/>
          </w:tcPr>
          <w:p w:rsidR="00D4019A" w:rsidRDefault="00D4019A">
            <w:r>
              <w:t>Cons</w:t>
            </w:r>
          </w:p>
        </w:tc>
      </w:tr>
      <w:tr w:rsidR="00D4019A" w:rsidTr="00DD6BB1">
        <w:tc>
          <w:tcPr>
            <w:tcW w:w="2394" w:type="dxa"/>
          </w:tcPr>
          <w:p w:rsidR="00D4019A" w:rsidRDefault="00D4019A" w:rsidP="00D4019A">
            <w:pPr>
              <w:pStyle w:val="ListParagraph"/>
              <w:numPr>
                <w:ilvl w:val="0"/>
                <w:numId w:val="1"/>
              </w:numPr>
            </w:pPr>
            <w:r>
              <w:t>Very organized</w:t>
            </w:r>
          </w:p>
          <w:p w:rsidR="00D4019A" w:rsidRDefault="00D4019A" w:rsidP="00D4019A">
            <w:pPr>
              <w:pStyle w:val="ListParagraph"/>
              <w:ind w:left="360"/>
            </w:pPr>
          </w:p>
        </w:tc>
        <w:tc>
          <w:tcPr>
            <w:tcW w:w="2394" w:type="dxa"/>
          </w:tcPr>
          <w:p w:rsidR="00D4019A" w:rsidRDefault="00D4019A" w:rsidP="004B07D0">
            <w:pPr>
              <w:pStyle w:val="ListParagraph"/>
              <w:numPr>
                <w:ilvl w:val="0"/>
                <w:numId w:val="1"/>
              </w:numPr>
            </w:pPr>
            <w:r>
              <w:t>Videos are dry with a weird echo</w:t>
            </w:r>
          </w:p>
        </w:tc>
        <w:tc>
          <w:tcPr>
            <w:tcW w:w="2394" w:type="dxa"/>
          </w:tcPr>
          <w:p w:rsidR="00D4019A" w:rsidRDefault="00D4019A" w:rsidP="004B07D0">
            <w:pPr>
              <w:pStyle w:val="ListParagraph"/>
              <w:numPr>
                <w:ilvl w:val="0"/>
                <w:numId w:val="1"/>
              </w:numPr>
            </w:pPr>
            <w:r>
              <w:t>Very organized</w:t>
            </w:r>
          </w:p>
          <w:p w:rsidR="00A3259F" w:rsidRDefault="00A3259F" w:rsidP="004B07D0">
            <w:pPr>
              <w:pStyle w:val="ListParagraph"/>
              <w:numPr>
                <w:ilvl w:val="0"/>
                <w:numId w:val="1"/>
              </w:numPr>
            </w:pPr>
            <w:r>
              <w:t>User friendly</w:t>
            </w:r>
          </w:p>
          <w:p w:rsidR="00A3259F" w:rsidRDefault="00A3259F" w:rsidP="004B07D0">
            <w:pPr>
              <w:pStyle w:val="ListParagraph"/>
              <w:numPr>
                <w:ilvl w:val="0"/>
                <w:numId w:val="1"/>
              </w:numPr>
            </w:pPr>
          </w:p>
        </w:tc>
        <w:tc>
          <w:tcPr>
            <w:tcW w:w="2394" w:type="dxa"/>
          </w:tcPr>
          <w:p w:rsidR="00D4019A" w:rsidRDefault="00D4019A" w:rsidP="00A3259F">
            <w:pPr>
              <w:pStyle w:val="ListParagraph"/>
              <w:numPr>
                <w:ilvl w:val="0"/>
                <w:numId w:val="1"/>
              </w:numPr>
            </w:pPr>
            <w:r>
              <w:t>A little slow, waiting for the writing to happen</w:t>
            </w:r>
          </w:p>
        </w:tc>
      </w:tr>
      <w:tr w:rsidR="00D4019A" w:rsidTr="00530BBB">
        <w:tc>
          <w:tcPr>
            <w:tcW w:w="4788" w:type="dxa"/>
            <w:gridSpan w:val="2"/>
          </w:tcPr>
          <w:p w:rsidR="00D4019A" w:rsidRDefault="00D4019A" w:rsidP="00D4019A">
            <w:r>
              <w:t>Links</w:t>
            </w:r>
          </w:p>
        </w:tc>
        <w:tc>
          <w:tcPr>
            <w:tcW w:w="4788" w:type="dxa"/>
            <w:gridSpan w:val="2"/>
          </w:tcPr>
          <w:p w:rsidR="00D4019A" w:rsidRDefault="00D4019A" w:rsidP="00D4019A">
            <w:r>
              <w:t>Links</w:t>
            </w:r>
          </w:p>
        </w:tc>
      </w:tr>
      <w:tr w:rsidR="00D4019A" w:rsidTr="00530BBB">
        <w:tc>
          <w:tcPr>
            <w:tcW w:w="4788" w:type="dxa"/>
            <w:gridSpan w:val="2"/>
          </w:tcPr>
          <w:p w:rsidR="00D4019A" w:rsidRDefault="00D4019A" w:rsidP="00D4019A">
            <w:pPr>
              <w:pStyle w:val="ListParagraph"/>
              <w:ind w:left="360"/>
            </w:pPr>
            <w:hyperlink r:id="rId8" w:history="1">
              <w:r w:rsidRPr="004A3B81">
                <w:rPr>
                  <w:rStyle w:val="Hyperlink"/>
                </w:rPr>
                <w:t>http://learnzillion.com/lessons/220-understand-and-apply-the-definition-of-irrational-numbers</w:t>
              </w:r>
            </w:hyperlink>
          </w:p>
          <w:p w:rsidR="00D4019A" w:rsidRDefault="00D4019A" w:rsidP="00D4019A">
            <w:pPr>
              <w:pStyle w:val="ListParagraph"/>
              <w:ind w:left="360"/>
            </w:pPr>
          </w:p>
          <w:p w:rsidR="00D4019A" w:rsidRDefault="00D4019A" w:rsidP="00D4019A">
            <w:pPr>
              <w:pStyle w:val="ListParagraph"/>
              <w:ind w:left="360"/>
            </w:pPr>
            <w:hyperlink r:id="rId9" w:history="1">
              <w:r w:rsidRPr="004A3B81">
                <w:rPr>
                  <w:rStyle w:val="Hyperlink"/>
                </w:rPr>
                <w:t>http://learnzillion.com/lessons/2366-determine-if-parentheses-change-the-value-of-an-expression-with-fractions-or-decimals</w:t>
              </w:r>
            </w:hyperlink>
          </w:p>
          <w:p w:rsidR="00D4019A" w:rsidRDefault="00D4019A" w:rsidP="00D4019A">
            <w:pPr>
              <w:pStyle w:val="ListParagraph"/>
              <w:ind w:left="360"/>
            </w:pPr>
          </w:p>
        </w:tc>
        <w:tc>
          <w:tcPr>
            <w:tcW w:w="4788" w:type="dxa"/>
            <w:gridSpan w:val="2"/>
          </w:tcPr>
          <w:p w:rsidR="00D4019A" w:rsidRDefault="00D4019A" w:rsidP="00D4019A">
            <w:pPr>
              <w:pStyle w:val="ListParagraph"/>
              <w:ind w:left="360"/>
            </w:pPr>
            <w:hyperlink r:id="rId10" w:history="1">
              <w:r w:rsidRPr="004A3B81">
                <w:rPr>
                  <w:rStyle w:val="Hyperlink"/>
                </w:rPr>
                <w:t>https://www.khanacademy.org/math/cc-eighth-grade-math/cc-8th-geometry/cc-8th-pythagorean-theorem/v/pythagorean-theorem</w:t>
              </w:r>
            </w:hyperlink>
          </w:p>
          <w:p w:rsidR="00D4019A" w:rsidRDefault="00D4019A" w:rsidP="00D4019A">
            <w:pPr>
              <w:pStyle w:val="ListParagraph"/>
              <w:ind w:left="360"/>
            </w:pPr>
          </w:p>
          <w:p w:rsidR="00D4019A" w:rsidRDefault="00D4019A" w:rsidP="00D4019A">
            <w:pPr>
              <w:pStyle w:val="ListParagraph"/>
              <w:ind w:left="360"/>
            </w:pPr>
            <w:r w:rsidRPr="00D4019A">
              <w:t>https://www.khanacademy.org/math/cc-eighth-grade-math/cc-8th-geometry/cc-8th-volume/v/volume-of-a-sphere</w:t>
            </w:r>
          </w:p>
        </w:tc>
      </w:tr>
    </w:tbl>
    <w:p w:rsidR="00D4019A" w:rsidRDefault="00D4019A"/>
    <w:p w:rsidR="000761C1" w:rsidRDefault="00A3259F">
      <w:r>
        <w:t>#4</w:t>
      </w:r>
    </w:p>
    <w:p w:rsidR="00A3259F" w:rsidRDefault="00A3259F">
      <w:r>
        <w:t xml:space="preserve">Next will be videos of students interacting with </w:t>
      </w:r>
      <w:proofErr w:type="spellStart"/>
      <w:r>
        <w:t>manipulatives</w:t>
      </w:r>
      <w:proofErr w:type="spellEnd"/>
      <w:r>
        <w:t xml:space="preserve"> or students trying out the rich </w:t>
      </w:r>
      <w:proofErr w:type="spellStart"/>
      <w:r>
        <w:t>takss</w:t>
      </w:r>
      <w:proofErr w:type="spellEnd"/>
      <w:r>
        <w:t xml:space="preserve"> being used.</w:t>
      </w:r>
    </w:p>
    <w:p w:rsidR="00981F8A" w:rsidRDefault="00981F8A"/>
    <w:sectPr w:rsidR="00981F8A" w:rsidSect="00A3259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8F2752"/>
    <w:multiLevelType w:val="hybridMultilevel"/>
    <w:tmpl w:val="6EDC8E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723D92"/>
    <w:rsid w:val="000761C1"/>
    <w:rsid w:val="0037054F"/>
    <w:rsid w:val="00444828"/>
    <w:rsid w:val="00582A70"/>
    <w:rsid w:val="006140A4"/>
    <w:rsid w:val="006E6F74"/>
    <w:rsid w:val="00723D92"/>
    <w:rsid w:val="00775209"/>
    <w:rsid w:val="007E4FA1"/>
    <w:rsid w:val="00981F8A"/>
    <w:rsid w:val="00A13615"/>
    <w:rsid w:val="00A3259F"/>
    <w:rsid w:val="00B11816"/>
    <w:rsid w:val="00D4019A"/>
    <w:rsid w:val="00EB7281"/>
    <w:rsid w:val="00EC19F7"/>
    <w:rsid w:val="00F435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6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761C1"/>
    <w:rPr>
      <w:color w:val="0000FF" w:themeColor="hyperlink"/>
      <w:u w:val="single"/>
    </w:rPr>
  </w:style>
  <w:style w:type="table" w:styleId="TableGrid">
    <w:name w:val="Table Grid"/>
    <w:basedOn w:val="TableNormal"/>
    <w:uiPriority w:val="59"/>
    <w:rsid w:val="00D401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4019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earnzillion.com/lessons/220-understand-and-apply-the-definition-of-irrational-numbers" TargetMode="External"/><Relationship Id="rId3" Type="http://schemas.openxmlformats.org/officeDocument/2006/relationships/settings" Target="settings.xml"/><Relationship Id="rId7" Type="http://schemas.openxmlformats.org/officeDocument/2006/relationships/hyperlink" Target="https://www.youtube.com/watch?v=BbX44YSsQ2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30X37X1uk2o" TargetMode="External"/><Relationship Id="rId11" Type="http://schemas.openxmlformats.org/officeDocument/2006/relationships/fontTable" Target="fontTable.xml"/><Relationship Id="rId5" Type="http://schemas.openxmlformats.org/officeDocument/2006/relationships/hyperlink" Target="https://www.youtube.com/watch?v=68S3vSGvSXU" TargetMode="External"/><Relationship Id="rId10" Type="http://schemas.openxmlformats.org/officeDocument/2006/relationships/hyperlink" Target="https://www.khanacademy.org/math/cc-eighth-grade-math/cc-8th-geometry/cc-8th-pythagorean-theorem/v/pythagorean-theorem" TargetMode="External"/><Relationship Id="rId4" Type="http://schemas.openxmlformats.org/officeDocument/2006/relationships/webSettings" Target="webSettings.xml"/><Relationship Id="rId9" Type="http://schemas.openxmlformats.org/officeDocument/2006/relationships/hyperlink" Target="http://learnzillion.com/lessons/2366-determine-if-parentheses-change-the-value-of-an-expression-with-fractions-or-decima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378</Words>
  <Characters>2160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BCPS</Company>
  <LinksUpToDate>false</LinksUpToDate>
  <CharactersWithSpaces>2533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srussell</dc:creator>
  <cp:lastModifiedBy>srussell</cp:lastModifiedBy>
  <cp:revision>2</cp:revision>
  <dcterms:created xsi:type="dcterms:W3CDTF">2014-05-15T20:43:00Z</dcterms:created>
  <dcterms:modified xsi:type="dcterms:W3CDTF">2014-05-15T20:43:00Z</dcterms:modified>
</cp:coreProperties>
</file>